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955AB" w:rsidR="00B955AB" w:rsidP="00B955AB" w:rsidRDefault="00B955AB" w14:paraId="18088DE3" w14:textId="77777777">
      <w:pPr>
        <w:shd w:val="clear" w:color="auto" w:fill="FFFFFF"/>
        <w:rPr>
          <w:rFonts w:ascii="Garamond" w:hAnsi="Garamond" w:eastAsia="Times New Roman" w:cs="Times New Roman"/>
          <w:b/>
          <w:color w:val="222222"/>
          <w:sz w:val="32"/>
          <w:szCs w:val="32"/>
          <w:u w:val="single"/>
          <w:lang w:val="nl-BE" w:eastAsia="nl-BE"/>
        </w:rPr>
      </w:pPr>
      <w:r w:rsidRPr="00B955AB">
        <w:rPr>
          <w:rFonts w:ascii="Garamond" w:hAnsi="Garamond" w:eastAsia="Times New Roman" w:cs="Times New Roman"/>
          <w:b/>
          <w:color w:val="222222"/>
          <w:sz w:val="32"/>
          <w:szCs w:val="32"/>
          <w:u w:val="single"/>
          <w:lang w:val="nl-BE" w:eastAsia="nl-BE"/>
        </w:rPr>
        <w:t>Selectiecriteria</w:t>
      </w:r>
    </w:p>
    <w:p w:rsidR="00B955AB" w:rsidP="00B955AB" w:rsidRDefault="00B955AB" w14:paraId="18088DE4" w14:textId="77777777">
      <w:pPr>
        <w:shd w:val="clear" w:color="auto" w:fill="FFFFFF"/>
        <w:rPr>
          <w:rFonts w:ascii="Garamond" w:hAnsi="Garamond" w:eastAsia="Times New Roman" w:cs="Times New Roman"/>
          <w:color w:val="222222"/>
          <w:lang w:val="nl-BE" w:eastAsia="nl-BE"/>
        </w:rPr>
      </w:pPr>
    </w:p>
    <w:p w:rsidR="00711D19" w:rsidP="15F202EC" w:rsidRDefault="00B955AB" w14:paraId="7F934127" w14:textId="2C0AEFFC">
      <w:pPr>
        <w:spacing w:before="100" w:beforeAutospacing="on" w:after="100" w:afterAutospacing="on"/>
        <w:rPr>
          <w:rFonts w:ascii="Garamond" w:hAnsi="Garamond" w:eastAsia="Times New Roman" w:cs="Times New Roman"/>
          <w:lang w:val="nl-NL"/>
        </w:rPr>
      </w:pPr>
      <w:r w:rsidRPr="67D53208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Om </w:t>
      </w:r>
      <w:r w:rsidRPr="67D53208" w:rsidR="00B955AB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ontvankelijk </w:t>
      </w:r>
      <w:r w:rsidRPr="67D53208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te zijn, moet het project beantwoorden aan het voorwerp </w:t>
      </w:r>
      <w:r w:rsidRPr="67D53208" w:rsidR="00F063BE">
        <w:rPr>
          <w:rFonts w:ascii="Garamond" w:hAnsi="Garamond" w:eastAsia="Times New Roman" w:cs="Times New Roman"/>
          <w:color w:val="222222"/>
          <w:lang w:val="nl-BE" w:eastAsia="nl-BE"/>
        </w:rPr>
        <w:t>en alle modaliteiten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 </w:t>
      </w:r>
      <w:r w:rsidRPr="67D53208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van de oproep zoals beschreven op deze website en mag het niet van commerciële aard zijn. 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Organisaties die een project indienen, moeten hun project uitvoeren </w:t>
      </w:r>
      <w:r w:rsidRPr="67D53208" w:rsidR="00A46613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binnen een straal van 100 km rond een industriële</w:t>
      </w:r>
      <w:r w:rsidRPr="67D53208" w:rsidR="2FB39587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, R&amp;I of administratieve</w:t>
      </w:r>
      <w:r w:rsidRPr="67D53208" w:rsidR="00A46613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 site van </w:t>
      </w:r>
      <w:r w:rsidRPr="67D53208" w:rsidR="00A46613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Solvay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. </w:t>
      </w:r>
      <w:r w:rsidRPr="67D53208" w:rsidR="790448DD">
        <w:rPr>
          <w:rFonts w:ascii="Garamond" w:hAnsi="Garamond" w:eastAsia="Times New Roman" w:cs="Times New Roman"/>
          <w:color w:val="222222"/>
          <w:lang w:val="nl-BE" w:eastAsia="nl-BE"/>
        </w:rPr>
        <w:t>C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>o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>mmerciële s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ites van 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>So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>lvay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 k</w:t>
      </w:r>
      <w:r w:rsidRPr="67D53208" w:rsidR="00A46613">
        <w:rPr>
          <w:rFonts w:ascii="Garamond" w:hAnsi="Garamond" w:eastAsia="Times New Roman" w:cs="Times New Roman"/>
          <w:color w:val="222222"/>
          <w:lang w:val="nl-BE" w:eastAsia="nl-BE"/>
        </w:rPr>
        <w:t xml:space="preserve">omen niet in aanmerking. </w:t>
      </w:r>
      <w:r w:rsidRPr="67D53208" w:rsidR="00BF1AE3">
        <w:rPr>
          <w:rFonts w:ascii="Garamond" w:hAnsi="Garamond" w:eastAsia="Times New Roman" w:cs="Times New Roman"/>
          <w:color w:val="222222"/>
          <w:lang w:val="nl-BE" w:eastAsia="nl-BE"/>
        </w:rPr>
        <w:t>Om na te gaan of u in aanmerking komt, verwijzen we u naar</w:t>
      </w:r>
      <w:r w:rsidRPr="67D53208" w:rsidR="55E26CE5">
        <w:rPr>
          <w:rFonts w:ascii="Garamond" w:hAnsi="Garamond" w:eastAsia="Times New Roman" w:cs="Times New Roman"/>
          <w:color w:val="222222"/>
          <w:lang w:val="nl-BE" w:eastAsia="nl-BE"/>
        </w:rPr>
        <w:t xml:space="preserve"> bijgevoegde lijst van </w:t>
      </w:r>
      <w:r w:rsidRPr="67D53208" w:rsidR="55E26CE5">
        <w:rPr>
          <w:rFonts w:ascii="Garamond" w:hAnsi="Garamond" w:eastAsia="Times New Roman" w:cs="Times New Roman"/>
          <w:color w:val="222222"/>
          <w:lang w:val="nl-BE" w:eastAsia="nl-BE"/>
        </w:rPr>
        <w:t>So</w:t>
      </w:r>
      <w:r w:rsidRPr="67D53208" w:rsidR="55E26CE5">
        <w:rPr>
          <w:rFonts w:ascii="Garamond" w:hAnsi="Garamond" w:eastAsia="Times New Roman" w:cs="Times New Roman"/>
          <w:color w:val="222222"/>
          <w:lang w:val="nl-BE" w:eastAsia="nl-BE"/>
        </w:rPr>
        <w:t>lvay</w:t>
      </w:r>
      <w:r w:rsidRPr="67D53208" w:rsidR="55E26CE5">
        <w:rPr>
          <w:rFonts w:ascii="Garamond" w:hAnsi="Garamond" w:eastAsia="Times New Roman" w:cs="Times New Roman"/>
          <w:color w:val="222222"/>
          <w:lang w:val="nl-BE" w:eastAsia="nl-BE"/>
        </w:rPr>
        <w:t xml:space="preserve"> s</w:t>
      </w:r>
      <w:r w:rsidRPr="67D53208" w:rsidR="55E26CE5">
        <w:rPr>
          <w:rFonts w:ascii="Garamond" w:hAnsi="Garamond" w:eastAsia="Times New Roman" w:cs="Times New Roman"/>
          <w:color w:val="222222"/>
          <w:lang w:val="nl-BE" w:eastAsia="nl-BE"/>
        </w:rPr>
        <w:t>ites</w:t>
      </w:r>
      <w:r w:rsidRPr="67D53208" w:rsidR="07AF97B0">
        <w:rPr>
          <w:rFonts w:ascii="Garamond" w:hAnsi="Garamond" w:eastAsia="Times New Roman" w:cs="Times New Roman"/>
          <w:color w:val="222222"/>
          <w:lang w:val="nl-BE" w:eastAsia="nl-BE"/>
        </w:rPr>
        <w:t xml:space="preserve"> over de hele wereld.</w:t>
      </w:r>
    </w:p>
    <w:p w:rsidR="00711D19" w:rsidP="15F202EC" w:rsidRDefault="00B955AB" w14:paraId="20E1E745" w14:textId="54DA2D15">
      <w:pPr>
        <w:spacing w:before="100" w:beforeAutospacing="on" w:after="100" w:afterAutospacing="on"/>
        <w:rPr>
          <w:rFonts w:ascii="Garamond" w:hAnsi="Garamond" w:eastAsia="Times New Roman" w:cs="Times New Roman"/>
          <w:lang w:val="nl-NL"/>
        </w:rPr>
      </w:pPr>
    </w:p>
    <w:p w:rsidR="00711D19" w:rsidP="15F202EC" w:rsidRDefault="00B955AB" w14:paraId="586BC5DC" w14:textId="52378C87">
      <w:pPr>
        <w:spacing w:before="100" w:beforeAutospacing="on" w:after="100" w:afterAutospacing="on"/>
        <w:rPr>
          <w:rFonts w:ascii="Garamond" w:hAnsi="Garamond" w:eastAsia="Times New Roman" w:cs="Times New Roman"/>
          <w:lang w:val="nl-NL"/>
        </w:rPr>
      </w:pPr>
      <w:r w:rsidRPr="15F202EC" w:rsidR="00C6141D">
        <w:rPr>
          <w:rFonts w:ascii="Garamond" w:hAnsi="Garamond" w:eastAsia="Times New Roman" w:cs="Times New Roman"/>
          <w:lang w:val="nl-NL"/>
        </w:rPr>
        <w:t xml:space="preserve">Projecten die niet voldoen aan de </w:t>
      </w:r>
      <w:r w:rsidRPr="15F202EC" w:rsidR="00C6141D">
        <w:rPr>
          <w:rFonts w:ascii="Garamond" w:hAnsi="Garamond" w:eastAsia="Times New Roman" w:cs="Times New Roman"/>
          <w:lang w:val="nl-NL"/>
        </w:rPr>
        <w:t>ontvank</w:t>
      </w:r>
      <w:r w:rsidRPr="15F202EC" w:rsidR="00416FC3">
        <w:rPr>
          <w:rFonts w:ascii="Garamond" w:hAnsi="Garamond" w:eastAsia="Times New Roman" w:cs="Times New Roman"/>
          <w:lang w:val="nl-NL"/>
        </w:rPr>
        <w:t>e</w:t>
      </w:r>
      <w:r w:rsidRPr="15F202EC" w:rsidR="00C6141D">
        <w:rPr>
          <w:rFonts w:ascii="Garamond" w:hAnsi="Garamond" w:eastAsia="Times New Roman" w:cs="Times New Roman"/>
          <w:lang w:val="nl-NL"/>
        </w:rPr>
        <w:t>lijkheidscriteria</w:t>
      </w:r>
      <w:r w:rsidRPr="15F202EC" w:rsidR="00C6141D">
        <w:rPr>
          <w:rFonts w:ascii="Garamond" w:hAnsi="Garamond" w:eastAsia="Times New Roman" w:cs="Times New Roman"/>
          <w:lang w:val="nl-NL"/>
        </w:rPr>
        <w:t xml:space="preserve"> worden niet voorgelegd aan het selectiecomité.</w:t>
      </w:r>
    </w:p>
    <w:p w:rsidR="15F202EC" w:rsidP="15F202EC" w:rsidRDefault="15F202EC" w14:paraId="6BAECFAB" w14:textId="2458DD98">
      <w:pPr>
        <w:spacing w:beforeAutospacing="on" w:afterAutospacing="on"/>
        <w:rPr>
          <w:rFonts w:ascii="Garamond" w:hAnsi="Garamond" w:eastAsia="Times New Roman" w:cs="Times New Roman"/>
          <w:lang w:val="nl-NL"/>
        </w:rPr>
      </w:pPr>
    </w:p>
    <w:p w:rsidR="00B955AB" w:rsidP="00B955AB" w:rsidRDefault="00B955AB" w14:paraId="18088DE8" w14:textId="77777777">
      <w:pPr>
        <w:shd w:val="clear" w:color="auto" w:fill="FFFFFF"/>
        <w:rPr>
          <w:rFonts w:ascii="Garamond" w:hAnsi="Garamond" w:eastAsia="Times New Roman" w:cs="Times New Roman"/>
          <w:color w:val="222222"/>
          <w:lang w:val="nl-BE" w:eastAsia="nl-BE"/>
        </w:rPr>
      </w:pP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Bij de </w:t>
      </w:r>
      <w:r w:rsidRPr="00B955AB">
        <w:rPr>
          <w:rFonts w:ascii="Garamond" w:hAnsi="Garamond" w:eastAsia="Times New Roman" w:cs="Times New Roman"/>
          <w:b/>
          <w:bCs/>
          <w:color w:val="222222"/>
          <w:lang w:val="nl-BE" w:eastAsia="nl-BE"/>
        </w:rPr>
        <w:t>selectie</w:t>
      </w: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 zal de jury aandacht besteden aan de volgende criteria:</w:t>
      </w:r>
    </w:p>
    <w:p w:rsidR="00932583" w:rsidP="00B955AB" w:rsidRDefault="007E0AEC" w14:paraId="3C5188DA" w14:textId="77777777">
      <w:pPr>
        <w:shd w:val="clear" w:color="auto" w:fill="FFFFFF"/>
        <w:spacing w:before="100" w:beforeAutospacing="1" w:after="100" w:afterAutospacing="1"/>
        <w:rPr>
          <w:rFonts w:ascii="Garamond" w:hAnsi="Garamond" w:eastAsia="Times New Roman" w:cs="Arial"/>
          <w:color w:val="222222"/>
          <w:lang w:val="nl-BE" w:eastAsia="nl-BE"/>
        </w:rPr>
      </w:pPr>
      <w:r>
        <w:rPr>
          <w:rFonts w:ascii="Garamond" w:hAnsi="Garamond" w:eastAsia="Times New Roman" w:cs="Times New Roman"/>
          <w:color w:val="222222"/>
          <w:lang w:val="nl-BE" w:eastAsia="nl-BE"/>
        </w:rPr>
        <w:t xml:space="preserve">-  </w:t>
      </w:r>
      <w:r w:rsidRPr="00B955AB" w:rsidR="00B955AB">
        <w:rPr>
          <w:rFonts w:ascii="Garamond" w:hAnsi="Garamond" w:eastAsia="Times New Roman" w:cs="Times New Roman"/>
          <w:color w:val="222222"/>
          <w:lang w:val="nl-BE" w:eastAsia="nl-BE"/>
        </w:rPr>
        <w:t xml:space="preserve">de mogelijke </w:t>
      </w:r>
      <w:r w:rsidRPr="00B955AB" w:rsidR="00B955AB">
        <w:rPr>
          <w:rFonts w:ascii="Garamond" w:hAnsi="Garamond" w:eastAsia="Times New Roman" w:cs="Arial"/>
          <w:color w:val="222222"/>
          <w:lang w:val="nl-BE" w:eastAsia="nl-BE"/>
        </w:rPr>
        <w:t>impact van het project</w:t>
      </w:r>
      <w:r w:rsidR="00FD2FC5">
        <w:rPr>
          <w:rFonts w:ascii="Garamond" w:hAnsi="Garamond" w:eastAsia="Times New Roman" w:cs="Arial"/>
          <w:color w:val="222222"/>
          <w:lang w:val="nl-BE" w:eastAsia="nl-BE"/>
        </w:rPr>
        <w:t>.</w:t>
      </w:r>
      <w:r w:rsidRPr="00BE7AD6" w:rsidR="00BE7AD6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="00E9229B">
        <w:rPr>
          <w:rFonts w:ascii="Garamond" w:hAnsi="Garamond" w:eastAsia="Times New Roman" w:cs="Arial"/>
          <w:color w:val="222222"/>
          <w:lang w:val="nl-BE" w:eastAsia="nl-BE"/>
        </w:rPr>
        <w:t>H</w:t>
      </w:r>
      <w:r w:rsidRPr="00E9229B" w:rsidR="00E9229B">
        <w:rPr>
          <w:rFonts w:ascii="Garamond" w:hAnsi="Garamond" w:eastAsia="Times New Roman" w:cs="Arial"/>
          <w:color w:val="222222"/>
          <w:lang w:val="nl-BE" w:eastAsia="nl-BE"/>
        </w:rPr>
        <w:t xml:space="preserve">et selectiecomité </w:t>
      </w:r>
      <w:r w:rsidR="00E9229B">
        <w:rPr>
          <w:rFonts w:ascii="Garamond" w:hAnsi="Garamond" w:eastAsia="Times New Roman" w:cs="Arial"/>
          <w:color w:val="222222"/>
          <w:lang w:val="nl-BE" w:eastAsia="nl-BE"/>
        </w:rPr>
        <w:t xml:space="preserve">zal </w:t>
      </w:r>
      <w:r w:rsidR="004E7010">
        <w:rPr>
          <w:rFonts w:ascii="Garamond" w:hAnsi="Garamond" w:eastAsia="Times New Roman" w:cs="Arial"/>
          <w:color w:val="222222"/>
          <w:lang w:val="nl-BE" w:eastAsia="nl-BE"/>
        </w:rPr>
        <w:t xml:space="preserve">hierin onder meer </w:t>
      </w:r>
      <w:r w:rsidRPr="00E9229B" w:rsidR="00E9229B">
        <w:rPr>
          <w:rFonts w:ascii="Garamond" w:hAnsi="Garamond" w:eastAsia="Times New Roman" w:cs="Arial"/>
          <w:color w:val="222222"/>
          <w:lang w:val="nl-BE" w:eastAsia="nl-BE"/>
        </w:rPr>
        <w:t xml:space="preserve">aandacht besteden aan </w:t>
      </w:r>
      <w:r w:rsidRPr="00F02325" w:rsidR="00E9229B">
        <w:rPr>
          <w:rFonts w:ascii="Garamond" w:hAnsi="Garamond" w:eastAsia="Times New Roman" w:cs="Arial"/>
          <w:b/>
          <w:bCs/>
          <w:color w:val="222222"/>
          <w:lang w:val="nl-BE" w:eastAsia="nl-BE"/>
        </w:rPr>
        <w:t>het aantal mensen</w:t>
      </w:r>
      <w:r w:rsidRPr="00E9229B" w:rsidR="00E9229B">
        <w:rPr>
          <w:rFonts w:ascii="Garamond" w:hAnsi="Garamond" w:eastAsia="Times New Roman" w:cs="Arial"/>
          <w:color w:val="222222"/>
          <w:lang w:val="nl-BE" w:eastAsia="nl-BE"/>
        </w:rPr>
        <w:t xml:space="preserve"> dat door het project wordt </w:t>
      </w:r>
      <w:r w:rsidR="00932583">
        <w:rPr>
          <w:rFonts w:ascii="Garamond" w:hAnsi="Garamond" w:eastAsia="Times New Roman" w:cs="Arial"/>
          <w:color w:val="222222"/>
          <w:lang w:val="nl-BE" w:eastAsia="nl-BE"/>
        </w:rPr>
        <w:t>bereikt.</w:t>
      </w:r>
    </w:p>
    <w:p w:rsidRPr="00B955AB" w:rsidR="00B955AB" w:rsidP="00B955AB" w:rsidRDefault="00A420E5" w14:paraId="18088DEA" w14:textId="74104A2B">
      <w:pPr>
        <w:shd w:val="clear" w:color="auto" w:fill="FFFFFF"/>
        <w:spacing w:before="100" w:beforeAutospacing="1" w:after="100" w:afterAutospacing="1"/>
        <w:rPr>
          <w:rFonts w:ascii="Garamond" w:hAnsi="Garamond" w:eastAsia="Times New Roman" w:cs="Arial"/>
          <w:color w:val="222222"/>
          <w:lang w:val="nl-BE" w:eastAsia="nl-BE"/>
        </w:rPr>
      </w:pPr>
      <w:r>
        <w:rPr>
          <w:rFonts w:ascii="Garamond" w:hAnsi="Garamond" w:eastAsia="Times New Roman" w:cs="Arial"/>
          <w:color w:val="222222"/>
          <w:lang w:val="nl-BE" w:eastAsia="nl-BE"/>
        </w:rPr>
        <w:t>-</w:t>
      </w:r>
      <w:r w:rsidRPr="00B955AB" w:rsidR="00BE7AD6">
        <w:rPr>
          <w:rFonts w:ascii="Garamond" w:hAnsi="Garamond" w:eastAsia="Times New Roman" w:cs="Arial"/>
          <w:color w:val="222222"/>
          <w:lang w:val="nl-BE" w:eastAsia="nl-BE"/>
        </w:rPr>
        <w:t xml:space="preserve"> het vernieuwende</w:t>
      </w:r>
      <w:r w:rsidR="00400F36">
        <w:rPr>
          <w:rFonts w:ascii="Garamond" w:hAnsi="Garamond" w:eastAsia="Times New Roman" w:cs="Arial"/>
          <w:color w:val="222222"/>
          <w:lang w:val="nl-BE" w:eastAsia="nl-BE"/>
        </w:rPr>
        <w:t>,</w:t>
      </w:r>
      <w:r>
        <w:rPr>
          <w:rFonts w:ascii="Garamond" w:hAnsi="Garamond" w:eastAsia="Times New Roman" w:cs="Arial"/>
          <w:color w:val="222222"/>
          <w:lang w:val="nl-BE" w:eastAsia="nl-BE"/>
        </w:rPr>
        <w:t xml:space="preserve"> originele </w:t>
      </w:r>
      <w:r w:rsidR="00400F36">
        <w:rPr>
          <w:rFonts w:ascii="Garamond" w:hAnsi="Garamond" w:eastAsia="Times New Roman" w:cs="Arial"/>
          <w:color w:val="222222"/>
          <w:lang w:val="nl-BE" w:eastAsia="nl-BE"/>
        </w:rPr>
        <w:t xml:space="preserve">en </w:t>
      </w:r>
      <w:r w:rsidRPr="00F02325" w:rsidR="00400F36">
        <w:rPr>
          <w:rFonts w:ascii="Garamond" w:hAnsi="Garamond" w:eastAsia="Times New Roman" w:cs="Arial"/>
          <w:b/>
          <w:bCs/>
          <w:color w:val="222222"/>
          <w:lang w:val="nl-BE" w:eastAsia="nl-BE"/>
        </w:rPr>
        <w:t>baanbrekend</w:t>
      </w:r>
      <w:r w:rsidR="00400F36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00B955AB" w:rsidR="00BE7AD6">
        <w:rPr>
          <w:rFonts w:ascii="Garamond" w:hAnsi="Garamond" w:eastAsia="Times New Roman" w:cs="Arial"/>
          <w:color w:val="222222"/>
          <w:lang w:val="nl-BE" w:eastAsia="nl-BE"/>
        </w:rPr>
        <w:t>karakter</w:t>
      </w:r>
      <w:r w:rsidR="00F71C88">
        <w:rPr>
          <w:rFonts w:ascii="Garamond" w:hAnsi="Garamond" w:eastAsia="Times New Roman" w:cs="Arial"/>
          <w:color w:val="222222"/>
          <w:lang w:val="nl-BE" w:eastAsia="nl-BE"/>
        </w:rPr>
        <w:t xml:space="preserve"> van het project</w:t>
      </w:r>
    </w:p>
    <w:p w:rsidR="008605B6" w:rsidP="00B955AB" w:rsidRDefault="00B955AB" w14:paraId="18088DEB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B955AB">
        <w:rPr>
          <w:rFonts w:ascii="Garamond" w:hAnsi="Garamond" w:eastAsia="Times New Roman" w:cs="Arial"/>
          <w:color w:val="222222"/>
          <w:lang w:val="nl-BE" w:eastAsia="nl-BE"/>
        </w:rPr>
        <w:t>-</w:t>
      </w:r>
      <w:r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="007E0AEC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>het</w:t>
      </w:r>
      <w:r w:rsidRPr="00B955AB">
        <w:rPr>
          <w:rFonts w:ascii="Garamond" w:hAnsi="Garamond" w:eastAsia="Times New Roman" w:cs="Arial"/>
          <w:color w:val="222222"/>
          <w:lang w:val="nl-BE" w:eastAsia="nl-BE"/>
        </w:rPr>
        <w:t xml:space="preserve"> project moet </w:t>
      </w:r>
      <w:r w:rsidRPr="00F02325">
        <w:rPr>
          <w:rFonts w:ascii="Garamond" w:hAnsi="Garamond" w:eastAsia="Times New Roman" w:cs="Arial"/>
          <w:b/>
          <w:bCs/>
          <w:color w:val="222222"/>
          <w:lang w:val="nl-BE" w:eastAsia="nl-BE"/>
        </w:rPr>
        <w:t>duidelijk, concreet en realistisch</w:t>
      </w:r>
      <w:r w:rsidRPr="00B955AB">
        <w:rPr>
          <w:rFonts w:ascii="Garamond" w:hAnsi="Garamond" w:eastAsia="Times New Roman" w:cs="Arial"/>
          <w:color w:val="222222"/>
          <w:lang w:val="nl-BE" w:eastAsia="nl-BE"/>
        </w:rPr>
        <w:t xml:space="preserve"> zijn</w:t>
      </w:r>
      <w:r w:rsidR="008605B6">
        <w:rPr>
          <w:rFonts w:ascii="Garamond" w:hAnsi="Garamond" w:eastAsia="Times New Roman" w:cs="Arial"/>
          <w:color w:val="222222"/>
          <w:lang w:val="nl-BE" w:eastAsia="nl-BE"/>
        </w:rPr>
        <w:t>.</w:t>
      </w:r>
    </w:p>
    <w:p w:rsidRPr="00B47FE7" w:rsidR="00171AA7" w:rsidP="00171AA7" w:rsidRDefault="00171AA7" w14:paraId="18088DEC" w14:textId="77777777">
      <w:pPr>
        <w:pStyle w:val="ListParagraph"/>
        <w:rPr>
          <w:rFonts w:ascii="Garamond" w:hAnsi="Garamond" w:eastAsia="Times New Roman"/>
          <w:lang w:val="nl-BE"/>
        </w:rPr>
      </w:pPr>
    </w:p>
    <w:p w:rsidRPr="008B5491" w:rsidR="008605B6" w:rsidP="008605B6" w:rsidRDefault="008605B6" w14:paraId="18088DED" w14:textId="77777777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8B5491">
        <w:rPr>
          <w:rFonts w:ascii="Garamond" w:hAnsi="Garamond" w:eastAsia="Times New Roman" w:cs="Arial"/>
          <w:color w:val="222222"/>
          <w:lang w:val="nl-BE" w:eastAsia="nl-BE"/>
        </w:rPr>
        <w:t>Het moet mogelijk zijn om het uit te voeren met de opgegeven financiering en timing</w:t>
      </w:r>
    </w:p>
    <w:p w:rsidR="00171AA7" w:rsidP="008605B6" w:rsidRDefault="008605B6" w14:paraId="18088DEE" w14:textId="77777777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8B5491">
        <w:rPr>
          <w:rFonts w:ascii="Garamond" w:hAnsi="Garamond" w:eastAsia="Times New Roman" w:cs="Arial"/>
          <w:color w:val="222222"/>
          <w:lang w:val="nl-BE" w:eastAsia="nl-BE"/>
        </w:rPr>
        <w:t>De korte beschrijving van het initiatief moet duidelijk geformu</w:t>
      </w:r>
      <w:r w:rsidRPr="008B5491" w:rsidR="00B47FE7">
        <w:rPr>
          <w:rFonts w:ascii="Garamond" w:hAnsi="Garamond" w:eastAsia="Times New Roman" w:cs="Arial"/>
          <w:color w:val="222222"/>
          <w:lang w:val="nl-BE" w:eastAsia="nl-BE"/>
        </w:rPr>
        <w:t xml:space="preserve">leerd zijn en de kandidaat moet precies </w:t>
      </w:r>
      <w:r w:rsidRPr="008B5491">
        <w:rPr>
          <w:rFonts w:ascii="Garamond" w:hAnsi="Garamond" w:eastAsia="Times New Roman" w:cs="Arial"/>
          <w:color w:val="222222"/>
          <w:lang w:val="nl-BE" w:eastAsia="nl-BE"/>
        </w:rPr>
        <w:t xml:space="preserve">meedelen voor welke uitgaven de steun door het Fonds zal worden aangewend.  </w:t>
      </w:r>
    </w:p>
    <w:p w:rsidRPr="00605B28" w:rsidR="00B955AB" w:rsidP="00B955AB" w:rsidRDefault="00B955AB" w14:paraId="18088DF0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</w:p>
    <w:p w:rsidR="00F1106C" w:rsidP="00B955AB" w:rsidRDefault="00B955AB" w14:paraId="18088DF1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B955AB">
        <w:rPr>
          <w:rFonts w:ascii="Garamond" w:hAnsi="Garamond" w:eastAsia="Times New Roman" w:cs="Arial"/>
          <w:color w:val="222222"/>
          <w:lang w:val="nl-BE" w:eastAsia="nl-BE"/>
        </w:rPr>
        <w:t>-</w:t>
      </w:r>
      <w:r w:rsidRPr="00B955AB">
        <w:rPr>
          <w:rFonts w:ascii="Garamond" w:hAnsi="Garamond" w:eastAsia="Times New Roman" w:cs="Times New Roman"/>
          <w:color w:val="222222"/>
          <w:lang w:val="nl-BE" w:eastAsia="nl-BE"/>
        </w:rPr>
        <w:t> </w:t>
      </w:r>
      <w:r w:rsidR="007E0AEC">
        <w:rPr>
          <w:rFonts w:ascii="Garamond" w:hAnsi="Garamond" w:eastAsia="Times New Roman" w:cs="Times New Roman"/>
          <w:color w:val="222222"/>
          <w:lang w:val="nl-BE" w:eastAsia="nl-BE"/>
        </w:rPr>
        <w:t xml:space="preserve"> </w:t>
      </w:r>
      <w:r>
        <w:rPr>
          <w:rFonts w:ascii="Garamond" w:hAnsi="Garamond" w:eastAsia="Times New Roman" w:cs="Times New Roman"/>
          <w:color w:val="222222"/>
          <w:lang w:val="nl-BE" w:eastAsia="nl-BE"/>
        </w:rPr>
        <w:t xml:space="preserve">de </w:t>
      </w:r>
      <w:r w:rsidRPr="00B955AB">
        <w:rPr>
          <w:rFonts w:ascii="Garamond" w:hAnsi="Garamond" w:eastAsia="Times New Roman" w:cs="Arial"/>
          <w:color w:val="222222"/>
          <w:lang w:val="nl-BE" w:eastAsia="nl-BE"/>
        </w:rPr>
        <w:t xml:space="preserve">financiering door het Fonds </w:t>
      </w:r>
    </w:p>
    <w:p w:rsidR="007E0AEC" w:rsidP="00B955AB" w:rsidRDefault="007E0AEC" w14:paraId="18088DF2" w14:textId="77777777">
      <w:p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</w:p>
    <w:p w:rsidRPr="000B0F57" w:rsidR="00B955AB" w:rsidP="00F1106C" w:rsidRDefault="00B955AB" w14:paraId="18088DF3" w14:textId="525990B4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b/>
          <w:bCs/>
          <w:color w:val="222222"/>
          <w:lang w:val="nl-BE" w:eastAsia="nl-BE"/>
        </w:rPr>
      </w:pPr>
      <w:r w:rsidRPr="00F1106C">
        <w:rPr>
          <w:rFonts w:ascii="Garamond" w:hAnsi="Garamond" w:eastAsia="Times New Roman" w:cs="Arial"/>
          <w:color w:val="222222"/>
          <w:lang w:val="nl-BE" w:eastAsia="nl-BE"/>
        </w:rPr>
        <w:t xml:space="preserve">mag complementair zijn, maar mag 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>niet in de plaats</w:t>
      </w:r>
      <w:r w:rsidRPr="00F1106C">
        <w:rPr>
          <w:rFonts w:ascii="Garamond" w:hAnsi="Garamond" w:eastAsia="Times New Roman" w:cs="Arial"/>
          <w:color w:val="222222"/>
          <w:lang w:val="nl-BE" w:eastAsia="nl-BE"/>
        </w:rPr>
        <w:t xml:space="preserve"> treden 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>van</w:t>
      </w:r>
      <w:r w:rsidRPr="000B0F57" w:rsidR="00F1106C">
        <w:rPr>
          <w:rFonts w:ascii="Garamond" w:hAnsi="Garamond" w:eastAsia="Times New Roman" w:cs="Arial"/>
          <w:b/>
          <w:bCs/>
          <w:color w:val="222222"/>
          <w:lang w:val="nl-BE" w:eastAsia="nl-BE"/>
        </w:rPr>
        <w:t xml:space="preserve"> </w:t>
      </w:r>
      <w:r w:rsidR="001D61CF">
        <w:rPr>
          <w:rFonts w:ascii="Garamond" w:hAnsi="Garamond" w:eastAsia="Times New Roman" w:cs="Arial"/>
          <w:b/>
          <w:bCs/>
          <w:color w:val="222222"/>
          <w:lang w:val="nl-BE" w:eastAsia="nl-BE"/>
        </w:rPr>
        <w:t>verplichte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 xml:space="preserve"> </w:t>
      </w:r>
      <w:r w:rsidRPr="000B0F57" w:rsidR="00F1106C">
        <w:rPr>
          <w:rFonts w:ascii="Garamond" w:hAnsi="Garamond" w:eastAsia="Times New Roman" w:cs="Arial"/>
          <w:b/>
          <w:bCs/>
          <w:color w:val="222222"/>
          <w:lang w:val="nl-BE" w:eastAsia="nl-BE"/>
        </w:rPr>
        <w:t>o</w:t>
      </w:r>
      <w:r w:rsidRPr="000B0F57">
        <w:rPr>
          <w:rFonts w:ascii="Garamond" w:hAnsi="Garamond" w:eastAsia="Times New Roman" w:cs="Arial"/>
          <w:b/>
          <w:bCs/>
          <w:color w:val="222222"/>
          <w:lang w:val="nl-BE" w:eastAsia="nl-BE"/>
        </w:rPr>
        <w:t>verheidsfinanciering</w:t>
      </w:r>
    </w:p>
    <w:p w:rsidRPr="00F1106C" w:rsidR="00F1106C" w:rsidP="00F1106C" w:rsidRDefault="00F1106C" w14:paraId="18088DF4" w14:textId="6C007F2C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00F1106C">
        <w:rPr>
          <w:rFonts w:ascii="Garamond" w:hAnsi="Garamond" w:eastAsia="Times New Roman" w:cs="Arial"/>
          <w:color w:val="222222"/>
          <w:lang w:val="nl-BE" w:eastAsia="nl-BE"/>
        </w:rPr>
        <w:t xml:space="preserve">dekt de uitgaven </w:t>
      </w:r>
      <w:r w:rsidRPr="00A154D6" w:rsidR="00A154D6">
        <w:rPr>
          <w:rFonts w:ascii="Garamond" w:hAnsi="Garamond" w:eastAsia="Times New Roman" w:cs="Arial"/>
          <w:color w:val="222222"/>
          <w:lang w:val="nl-BE" w:eastAsia="nl-BE"/>
        </w:rPr>
        <w:t xml:space="preserve">die </w:t>
      </w:r>
      <w:r w:rsidRPr="009A3B79" w:rsidR="00A154D6">
        <w:rPr>
          <w:rFonts w:ascii="Garamond" w:hAnsi="Garamond" w:eastAsia="Times New Roman" w:cs="Arial"/>
          <w:b/>
          <w:bCs/>
          <w:color w:val="222222"/>
          <w:lang w:val="nl-BE" w:eastAsia="nl-BE"/>
        </w:rPr>
        <w:t>rechtstreeks verband</w:t>
      </w:r>
      <w:r w:rsidRPr="00A154D6" w:rsidR="00A154D6">
        <w:rPr>
          <w:rFonts w:ascii="Garamond" w:hAnsi="Garamond" w:eastAsia="Times New Roman" w:cs="Arial"/>
          <w:color w:val="222222"/>
          <w:lang w:val="nl-BE" w:eastAsia="nl-BE"/>
        </w:rPr>
        <w:t xml:space="preserve"> houden met het project en </w:t>
      </w:r>
      <w:r w:rsidRPr="009A3B79" w:rsidR="00A154D6">
        <w:rPr>
          <w:rFonts w:ascii="Garamond" w:hAnsi="Garamond" w:eastAsia="Times New Roman" w:cs="Arial"/>
          <w:b/>
          <w:bCs/>
          <w:color w:val="222222"/>
          <w:lang w:val="nl-BE" w:eastAsia="nl-BE"/>
        </w:rPr>
        <w:t>essentieel</w:t>
      </w:r>
      <w:r w:rsidRPr="00A154D6" w:rsidR="00A154D6">
        <w:rPr>
          <w:rFonts w:ascii="Garamond" w:hAnsi="Garamond" w:eastAsia="Times New Roman" w:cs="Arial"/>
          <w:color w:val="222222"/>
          <w:lang w:val="nl-BE" w:eastAsia="nl-BE"/>
        </w:rPr>
        <w:t xml:space="preserve"> zijn voor het welslagen ervan. </w:t>
      </w:r>
    </w:p>
    <w:p w:rsidR="00B955AB" w:rsidP="00F01DBF" w:rsidRDefault="002F4829" w14:paraId="18088DF5" w14:textId="196B4B7D">
      <w:pPr>
        <w:pStyle w:val="ListParagraph"/>
        <w:numPr>
          <w:ilvl w:val="0"/>
          <w:numId w:val="8"/>
        </w:numPr>
        <w:shd w:val="clear" w:color="auto" w:fill="FFFFFF"/>
        <w:rPr>
          <w:rFonts w:ascii="Garamond" w:hAnsi="Garamond" w:eastAsia="Times New Roman" w:cs="Arial"/>
          <w:color w:val="222222"/>
          <w:lang w:val="nl-BE" w:eastAsia="nl-BE"/>
        </w:rPr>
      </w:pPr>
      <w:r w:rsidRPr="15F202EC" w:rsidR="002F4829">
        <w:rPr>
          <w:rFonts w:ascii="Garamond" w:hAnsi="Garamond" w:eastAsia="Times New Roman" w:cs="Arial"/>
          <w:color w:val="222222"/>
          <w:lang w:val="nl-BE" w:eastAsia="nl-BE"/>
        </w:rPr>
        <w:t xml:space="preserve">Moet </w:t>
      </w:r>
      <w:r w:rsidRPr="15F202EC" w:rsidR="002F4829">
        <w:rPr>
          <w:rFonts w:ascii="Garamond" w:hAnsi="Garamond" w:eastAsia="Times New Roman" w:cs="Arial"/>
          <w:b w:val="1"/>
          <w:bCs w:val="1"/>
          <w:color w:val="222222"/>
          <w:sz w:val="28"/>
          <w:szCs w:val="28"/>
          <w:lang w:val="nl-BE" w:eastAsia="nl-BE"/>
        </w:rPr>
        <w:t>van cruciaal belang</w:t>
      </w:r>
      <w:r w:rsidRPr="15F202EC" w:rsidR="002F4829">
        <w:rPr>
          <w:rFonts w:ascii="Garamond" w:hAnsi="Garamond" w:eastAsia="Times New Roman" w:cs="Arial"/>
          <w:color w:val="222222"/>
          <w:sz w:val="28"/>
          <w:szCs w:val="28"/>
          <w:lang w:val="nl-BE" w:eastAsia="nl-BE"/>
        </w:rPr>
        <w:t xml:space="preserve"> </w:t>
      </w:r>
      <w:r w:rsidRPr="15F202EC" w:rsidR="002F4829">
        <w:rPr>
          <w:rFonts w:ascii="Garamond" w:hAnsi="Garamond" w:eastAsia="Times New Roman" w:cs="Arial"/>
          <w:color w:val="222222"/>
          <w:lang w:val="nl-BE" w:eastAsia="nl-BE"/>
        </w:rPr>
        <w:t xml:space="preserve">zijn voor het welslagen van het project. </w:t>
      </w:r>
      <w:r w:rsidRPr="15F202EC" w:rsidR="00A16A4F">
        <w:rPr>
          <w:rFonts w:ascii="Garamond" w:hAnsi="Garamond" w:eastAsia="Times New Roman" w:cs="Arial"/>
          <w:color w:val="222222"/>
          <w:lang w:val="nl-BE" w:eastAsia="nl-BE"/>
        </w:rPr>
        <w:t>De jury</w:t>
      </w:r>
      <w:r w:rsidRPr="15F202EC" w:rsidR="002F4829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 xml:space="preserve">zal 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 xml:space="preserve">die 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>projecten selecteren waarbij de door het Fonds verleende steun echt een verschil maakt voor de begunstigde organisatie.</w:t>
      </w:r>
      <w:r w:rsidRPr="15F202EC" w:rsidR="00B21291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15F202EC" w:rsidR="00F47813">
        <w:rPr>
          <w:rFonts w:ascii="Garamond" w:hAnsi="Garamond" w:eastAsia="Times New Roman" w:cs="Arial"/>
          <w:color w:val="222222"/>
          <w:lang w:val="nl-BE" w:eastAsia="nl-BE"/>
        </w:rPr>
        <w:t>Bij deze evaluatie wordt rekening gehouden met het bestaan van andere financiering.</w:t>
      </w:r>
    </w:p>
    <w:p w:rsidR="15F202EC" w:rsidP="15F202EC" w:rsidRDefault="15F202EC" w14:paraId="15A8A1F0" w14:textId="0F4C3BFB">
      <w:pPr>
        <w:shd w:val="clear" w:color="auto" w:fill="FFFFFF" w:themeFill="background1"/>
        <w:spacing w:beforeAutospacing="on" w:afterAutospacing="on"/>
        <w:rPr>
          <w:rFonts w:ascii="Garamond" w:hAnsi="Garamond" w:eastAsia="Times New Roman" w:cs="Arial"/>
          <w:color w:val="222222"/>
          <w:lang w:val="nl-BE" w:eastAsia="nl-BE"/>
        </w:rPr>
      </w:pPr>
    </w:p>
    <w:p w:rsidR="005C7560" w:rsidP="15F202EC" w:rsidRDefault="005C7560" w14:paraId="098F8A95" w14:textId="2F13684C">
      <w:pPr>
        <w:shd w:val="clear" w:color="auto" w:fill="FFFFFF" w:themeFill="background1"/>
        <w:spacing w:before="100" w:beforeAutospacing="on" w:after="100" w:afterAutospacing="on"/>
        <w:rPr>
          <w:rFonts w:ascii="Garamond" w:hAnsi="Garamond" w:eastAsia="Times New Roman" w:cs="Arial"/>
          <w:color w:val="222222"/>
          <w:lang w:val="nl-BE" w:eastAsia="nl-BE"/>
        </w:rPr>
      </w:pP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>Bovenop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 xml:space="preserve"> deze selectiecriteria krijgen projecten die </w:t>
      </w:r>
      <w:r w:rsidRPr="15F202EC" w:rsidR="005C7560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>gerepliceerd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 xml:space="preserve"> kunnen worden </w:t>
      </w:r>
      <w:r w:rsidRPr="15F202EC" w:rsidR="005C7560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>in</w:t>
      </w:r>
      <w:r w:rsidRPr="15F202EC" w:rsidR="114D22B5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 xml:space="preserve"> andere</w:t>
      </w:r>
      <w:r w:rsidRPr="15F202EC" w:rsidR="005C7560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 xml:space="preserve"> gemeenschappen 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 xml:space="preserve">rond 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>Solvay</w:t>
      </w:r>
      <w:r w:rsidRPr="15F202EC" w:rsidR="005C7560">
        <w:rPr>
          <w:rFonts w:ascii="Garamond" w:hAnsi="Garamond" w:eastAsia="Times New Roman" w:cs="Arial"/>
          <w:color w:val="222222"/>
          <w:lang w:val="nl-BE" w:eastAsia="nl-BE"/>
        </w:rPr>
        <w:t>-sites een extra bonus in hun beoordeling.</w:t>
      </w:r>
    </w:p>
    <w:p w:rsidR="15F202EC" w:rsidP="15F202EC" w:rsidRDefault="15F202EC" w14:paraId="5CBA3713" w14:textId="3606510F">
      <w:pPr>
        <w:shd w:val="clear" w:color="auto" w:fill="FFFFFF" w:themeFill="background1"/>
        <w:spacing w:beforeAutospacing="on" w:afterAutospacing="on"/>
        <w:rPr>
          <w:rFonts w:ascii="Garamond" w:hAnsi="Garamond" w:eastAsia="Times New Roman" w:cs="Arial"/>
          <w:color w:val="222222"/>
          <w:lang w:val="nl-BE" w:eastAsia="nl-BE"/>
        </w:rPr>
      </w:pPr>
    </w:p>
    <w:p w:rsidRPr="00B955AB" w:rsidR="008D2841" w:rsidP="404398B7" w:rsidRDefault="00B955AB" w14:paraId="18088DF9" w14:textId="18102FFE">
      <w:pPr>
        <w:shd w:val="clear" w:color="auto" w:fill="FFFFFF" w:themeFill="background1"/>
        <w:spacing w:before="100" w:beforeAutospacing="on" w:after="100" w:afterAutospacing="on"/>
        <w:rPr>
          <w:rFonts w:ascii="Garamond" w:hAnsi="Garamond"/>
          <w:lang w:val="nl-BE"/>
        </w:rPr>
      </w:pPr>
      <w:r w:rsidRPr="404398B7" w:rsidR="00B955AB">
        <w:rPr>
          <w:rFonts w:ascii="Garamond" w:hAnsi="Garamond" w:eastAsia="Times New Roman" w:cs="Arial"/>
          <w:color w:val="222222"/>
          <w:lang w:val="nl-BE" w:eastAsia="nl-BE"/>
        </w:rPr>
        <w:t>G</w:t>
      </w:r>
      <w:r w:rsidRPr="404398B7" w:rsidR="00B955AB">
        <w:rPr>
          <w:rFonts w:ascii="Garamond" w:hAnsi="Garamond" w:eastAsia="Times New Roman" w:cs="Arial"/>
          <w:color w:val="222222"/>
          <w:lang w:val="nl-BE" w:eastAsia="nl-BE"/>
        </w:rPr>
        <w:t>elieve</w:t>
      </w:r>
      <w:r w:rsidRPr="404398B7" w:rsidR="00230F84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404398B7" w:rsidR="00230F84">
        <w:rPr>
          <w:rFonts w:ascii="Garamond" w:hAnsi="Garamond" w:eastAsia="Times New Roman" w:cs="Arial"/>
          <w:b w:val="1"/>
          <w:bCs w:val="1"/>
          <w:color w:val="222222"/>
          <w:lang w:val="nl-BE" w:eastAsia="nl-BE"/>
        </w:rPr>
        <w:t>rekening te houden met</w:t>
      </w:r>
      <w:r w:rsidRPr="404398B7" w:rsidR="00230F84">
        <w:rPr>
          <w:rFonts w:ascii="Garamond" w:hAnsi="Garamond" w:eastAsia="Times New Roman" w:cs="Arial"/>
          <w:color w:val="222222"/>
          <w:lang w:val="nl-BE" w:eastAsia="nl-BE"/>
        </w:rPr>
        <w:t xml:space="preserve"> </w:t>
      </w:r>
      <w:r w:rsidRPr="404398B7" w:rsidR="00B955AB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deze elementen in uw kandidaatsdossier, </w:t>
      </w:r>
      <w:r w:rsidRPr="404398B7" w:rsidR="00B955AB">
        <w:rPr>
          <w:rFonts w:ascii="Garamond" w:hAnsi="Garamond" w:eastAsia="Times New Roman" w:cs="Times New Roman"/>
          <w:color w:val="222222"/>
          <w:lang w:val="nl-BE" w:eastAsia="nl-BE"/>
        </w:rPr>
        <w:t>dat het enige instrument is waarover de jury beschikt om te oordelen.</w:t>
      </w:r>
    </w:p>
    <w:p w:rsidR="404398B7" w:rsidRDefault="404398B7" w14:paraId="30D02904" w14:textId="089FB0EB">
      <w:r>
        <w:br w:type="page"/>
      </w:r>
    </w:p>
    <w:p w:rsidR="75AE1581" w:rsidP="404398B7" w:rsidRDefault="75AE1581" w14:paraId="18C631F6" w14:textId="533434F8">
      <w:pPr>
        <w:pStyle w:val="Normal"/>
        <w:shd w:val="clear" w:color="auto" w:fill="FFFFFF" w:themeFill="background1"/>
        <w:spacing w:beforeAutospacing="on" w:afterAutospacing="on"/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</w:pP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Bijlage: lijst van de industriële sites van 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Solvay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 over de 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>hele</w:t>
      </w:r>
      <w:r w:rsidRPr="0A2146E6" w:rsidR="75AE1581"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  <w:t xml:space="preserve"> wereld</w:t>
      </w:r>
    </w:p>
    <w:p w:rsidR="0A2146E6" w:rsidP="0A2146E6" w:rsidRDefault="0A2146E6" w14:paraId="5350DE9E" w14:textId="76733A79">
      <w:pPr>
        <w:pStyle w:val="Normal"/>
        <w:shd w:val="clear" w:color="auto" w:fill="FFFFFF" w:themeFill="background1"/>
        <w:spacing w:beforeAutospacing="on" w:afterAutospacing="on"/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7590"/>
      </w:tblGrid>
      <w:tr w:rsidR="0A2146E6" w:rsidTr="19FC16D0" w14:paraId="3684E613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72E18AC" w:rsidP="0A2146E6" w:rsidRDefault="072E18AC" w14:paraId="3C536B66" w14:textId="095C26E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072E18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Land</w:t>
            </w:r>
          </w:p>
        </w:tc>
        <w:tc>
          <w:tcPr>
            <w:tcW w:w="7590" w:type="dxa"/>
            <w:tcBorders>
              <w:top w:val="nil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72E18AC" w:rsidP="0A2146E6" w:rsidRDefault="072E18AC" w14:paraId="54685E2C" w14:textId="732A8D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072E18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Industriële</w:t>
            </w:r>
            <w:r w:rsidRPr="0A2146E6" w:rsidR="072E18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 sites</w:t>
            </w:r>
          </w:p>
        </w:tc>
      </w:tr>
      <w:tr w:rsidR="0A2146E6" w:rsidTr="19FC16D0" w14:paraId="0342154B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A2CDC64" w14:textId="72A43A5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Australi</w:t>
            </w:r>
            <w:r w:rsidRPr="0A2146E6" w:rsidR="2F0A73C2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1BA1F113" w14:textId="7562920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Banksmeadow</w:t>
            </w:r>
          </w:p>
        </w:tc>
      </w:tr>
      <w:tr w:rsidR="0A2146E6" w:rsidTr="19FC16D0" w14:paraId="4ACDF3FE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C607277" w14:textId="188DA1F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Belgi</w:t>
            </w:r>
            <w:r w:rsidRPr="0A2146E6" w:rsidR="3CE2F65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CBF2F4E" w14:textId="6D8B82DF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Jemeppe-sur-Sambre, Walcourt, Zandvliet (HPPO1)</w:t>
            </w:r>
          </w:p>
        </w:tc>
      </w:tr>
      <w:tr w:rsidR="0A2146E6" w:rsidTr="19FC16D0" w14:paraId="51806930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7EA70F2" w14:textId="73CBB6E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Br</w:t>
            </w:r>
            <w:r w:rsidRPr="0A2146E6" w:rsidR="68A11B8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azilië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09878FB" w14:textId="48F76783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pt-BR"/>
              </w:rPr>
              <w:t>Curitiba (Lunardelli), Imperatriz, Paulinia, Santo André Est, S</w:t>
            </w: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ã</w:t>
            </w: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pt-BR"/>
              </w:rPr>
              <w:t>o Paulo Trevo</w:t>
            </w:r>
          </w:p>
        </w:tc>
      </w:tr>
      <w:tr w:rsidR="0A2146E6" w:rsidTr="19FC16D0" w14:paraId="28BA346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D566875" w14:textId="150261D1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Bulgari</w:t>
            </w:r>
            <w:r w:rsidRPr="0A2146E6" w:rsidR="5983BDE8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je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2BB880E" w14:textId="37D421E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Chernevo, Devnya, Provadia</w:t>
            </w:r>
          </w:p>
        </w:tc>
      </w:tr>
      <w:tr w:rsidR="0A2146E6" w:rsidTr="19FC16D0" w14:paraId="67BF3F3D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B3DA388" w14:textId="0D30F5C6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Chili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625C63D" w14:textId="55ACE260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Coronel</w:t>
            </w:r>
          </w:p>
        </w:tc>
      </w:tr>
      <w:tr w:rsidR="0A2146E6" w:rsidTr="19FC16D0" w14:paraId="1CC586A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E33D889" w:rsidP="0A2146E6" w:rsidRDefault="7E33D889" w14:paraId="21865529" w14:textId="7119E90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7E33D88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Volksrepubliek </w:t>
            </w: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Chin</w:t>
            </w:r>
            <w:r w:rsidRPr="0A2146E6" w:rsidR="099D717E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D873248" w14:textId="643704D8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Dong Ying / SHIC (JV), Li Yang, Qingdao Ind Dev / Chenyang, Quzhou (JV), Quzhou, Zhenjiang JV</w:t>
            </w:r>
          </w:p>
        </w:tc>
      </w:tr>
      <w:tr w:rsidR="0A2146E6" w:rsidTr="19FC16D0" w14:paraId="53912852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29F47A4" w14:textId="0D99FE19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Finland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C30753E" w14:textId="7F2062D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Voikkaa</w:t>
            </w:r>
          </w:p>
        </w:tc>
      </w:tr>
      <w:tr w:rsidR="0A2146E6" w:rsidTr="19FC16D0" w14:paraId="7B77B86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680A70C" w14:textId="3130B73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Fran</w:t>
            </w:r>
            <w:r w:rsidRPr="0A2146E6" w:rsidR="247B504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krijk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19FC16D0" w:rsidRDefault="0A2146E6" w14:paraId="108572B8" w14:textId="177EB02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19FC16D0" w:rsidR="5B7DEAE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Aubervilliers, </w:t>
            </w:r>
            <w:r w:rsidRPr="19FC16D0" w:rsidR="4270592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Collonges</w:t>
            </w:r>
            <w:r w:rsidRPr="19FC16D0" w:rsidR="4270592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, </w:t>
            </w:r>
            <w:r w:rsidRPr="19FC16D0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Dombasle, La Rochelle, Pont de Claix, Saint-Fons Spécialités (</w:t>
            </w:r>
            <w:r w:rsidRPr="19FC16D0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Tolling</w:t>
            </w:r>
            <w:r w:rsidRPr="19FC16D0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), Salindres</w:t>
            </w:r>
          </w:p>
        </w:tc>
      </w:tr>
      <w:tr w:rsidR="0A2146E6" w:rsidTr="19FC16D0" w14:paraId="2D75FB0B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DD3B6B5" w:rsidP="0A2146E6" w:rsidRDefault="0DD3B6B5" w14:paraId="6E25AC86" w14:textId="465146F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DD3B6B5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Duitsland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8C9357E" w14:textId="0C2A7F9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de-DE"/>
              </w:rPr>
              <w:t>Bad Wimpfen, Bernburg, Epe (Ahaus - Graes), Garbsen, Rheinberg</w:t>
            </w:r>
          </w:p>
        </w:tc>
      </w:tr>
      <w:tr w:rsidR="0A2146E6" w:rsidTr="19FC16D0" w14:paraId="4CC26335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16EE7A54" w14:textId="7606FAD0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Guatemala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415EB63" w14:textId="6FE9064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Amatitlan (Tolling)</w:t>
            </w:r>
          </w:p>
        </w:tc>
      </w:tr>
      <w:tr w:rsidR="0A2146E6" w:rsidTr="19FC16D0" w14:paraId="605F2D04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D8DAAE7" w14:textId="39C2CF44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Itali</w:t>
            </w:r>
            <w:r w:rsidRPr="0A2146E6" w:rsidR="0E193BBF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E522508" w14:textId="38B85F1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Livorno, Massa, Ponteginori, Rosignano, San Vincenzo</w:t>
            </w:r>
          </w:p>
        </w:tc>
      </w:tr>
      <w:tr w:rsidR="0A2146E6" w:rsidTr="19FC16D0" w14:paraId="05048B54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E3E1539" w14:textId="2AEC8833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Jap</w:t>
            </w:r>
            <w:r w:rsidRPr="0A2146E6" w:rsidR="2FC78992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6F56B87E" w14:textId="024D591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Anan</w:t>
            </w:r>
          </w:p>
        </w:tc>
      </w:tr>
      <w:tr w:rsidR="0A2146E6" w:rsidTr="19FC16D0" w14:paraId="40474C4A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48B0311B" w14:textId="5C7BAE31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Mexi</w:t>
            </w:r>
            <w:r w:rsidRPr="0A2146E6" w:rsidR="6FECCF94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co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6C996CD" w14:textId="5AE4AD18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Ciudad Juarez</w:t>
            </w:r>
          </w:p>
        </w:tc>
      </w:tr>
      <w:tr w:rsidR="0A2146E6" w:rsidTr="19FC16D0" w14:paraId="0A726D9F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5CCB2EC" w:rsidP="0A2146E6" w:rsidRDefault="15CCB2EC" w14:paraId="55D59C65" w14:textId="38D013D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15CCB2E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Nederland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0F025DD3" w14:textId="49C10231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Linne-Herten</w:t>
            </w:r>
          </w:p>
        </w:tc>
      </w:tr>
      <w:tr w:rsidR="0A2146E6" w:rsidTr="19FC16D0" w14:paraId="3D17AAEE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275FFB12" w14:textId="519CD6D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Pol</w:t>
            </w:r>
            <w:r w:rsidRPr="0A2146E6" w:rsidR="32C12C01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en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54996903" w14:textId="31BDFB8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Wloclawek</w:t>
            </w:r>
          </w:p>
        </w:tc>
      </w:tr>
      <w:tr w:rsidR="0A3DA58A" w:rsidTr="19FC16D0" w14:paraId="438AC40E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D7C68F1" w:rsidP="0A3DA58A" w:rsidRDefault="3D7C68F1" w14:paraId="6793DB91" w14:textId="49A7D1D5">
            <w:pPr>
              <w:pStyle w:val="Normal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3DA58A" w:rsidR="3D7C68F1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Portugal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D7C68F1" w:rsidP="0A3DA58A" w:rsidRDefault="3D7C68F1" w14:paraId="690DDD2B" w14:textId="5726C85C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3DA58A" w:rsidR="3D7C68F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Lissabon</w:t>
            </w:r>
          </w:p>
        </w:tc>
      </w:tr>
      <w:tr w:rsidR="0A2146E6" w:rsidTr="19FC16D0" w14:paraId="44BAFCE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2927F2A" w:rsidP="0A2146E6" w:rsidRDefault="02927F2A" w14:paraId="1A6B150A" w14:textId="44E121A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2927F2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Saudi-Arabië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74B33985" w14:textId="20CFEB4C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Al Jubail (HPPO3) JV</w:t>
            </w:r>
          </w:p>
        </w:tc>
      </w:tr>
      <w:tr w:rsidR="0A2146E6" w:rsidTr="19FC16D0" w14:paraId="18E728C3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D223266" w:rsidP="0A2146E6" w:rsidRDefault="6D223266" w14:paraId="7F316465" w14:textId="140F75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6D22326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Zuid-Korea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3A4FEFB" w14:textId="25299100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Gunsan, Onsan - Ijin-Ro (Tolling)</w:t>
            </w:r>
          </w:p>
        </w:tc>
      </w:tr>
      <w:tr w:rsidR="0A2146E6" w:rsidTr="19FC16D0" w14:paraId="78215E49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E5EC4AC" w:rsidP="0A2146E6" w:rsidRDefault="5E5EC4AC" w14:paraId="1FA84601" w14:textId="3F637A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2146E6" w:rsidR="5E5EC4AC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Spanje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2B065928" w14:textId="2077D3B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Torrelavega</w:t>
            </w:r>
          </w:p>
        </w:tc>
      </w:tr>
      <w:tr w:rsidR="0A2146E6" w:rsidTr="19FC16D0" w14:paraId="33C736A6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2C7D4370" w14:textId="73B8235A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Ta</w:t>
            </w:r>
            <w:r w:rsidRPr="0A2146E6" w:rsidR="2CA96F9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</w:t>
            </w: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wan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4D591180" w14:textId="32C4942C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2146E6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Tainan (Vista) JV</w:t>
            </w:r>
          </w:p>
        </w:tc>
      </w:tr>
      <w:tr w:rsidR="0A2146E6" w:rsidTr="19FC16D0" w14:paraId="06A41B9B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A2146E6" w:rsidP="0A2146E6" w:rsidRDefault="0A2146E6" w14:paraId="3DD72F71" w14:textId="6350341F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</w:pPr>
            <w:r w:rsidRPr="0A2146E6" w:rsidR="0A2146E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Tha</w:t>
            </w:r>
            <w:r w:rsidRPr="0A2146E6" w:rsidR="1CEE0E2B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iland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3DA58A" w:rsidRDefault="0A2146E6" w14:paraId="773FAB23" w14:textId="48622ECD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</w:pPr>
            <w:r w:rsidRPr="0A3DA58A" w:rsidR="16735C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Bangkok, 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Map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 Ta 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Phut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, 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Map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 Ta 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>Phut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fr-FR"/>
              </w:rPr>
              <w:t xml:space="preserve"> (HPPO2) JV</w:t>
            </w:r>
          </w:p>
        </w:tc>
      </w:tr>
      <w:tr w:rsidR="0A2146E6" w:rsidTr="19FC16D0" w14:paraId="3176B108">
        <w:trPr>
          <w:trHeight w:val="300"/>
        </w:trPr>
        <w:tc>
          <w:tcPr>
            <w:tcW w:w="1350" w:type="dxa"/>
            <w:tcBorders>
              <w:top w:val="single" w:sz="6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624A739" w:rsidP="0A2146E6" w:rsidRDefault="7624A739" w14:paraId="033DEF4B" w14:textId="456B4A94">
            <w:pPr>
              <w:pStyle w:val="Normal"/>
              <w:suppressLineNumbers w:val="0"/>
              <w:bidi w:val="0"/>
              <w:spacing w:before="240" w:beforeAutospacing="off" w:after="240" w:afterAutospacing="off" w:line="259" w:lineRule="auto"/>
              <w:ind w:left="0" w:right="0"/>
              <w:jc w:val="left"/>
            </w:pPr>
            <w:r w:rsidRPr="0A2146E6" w:rsidR="7624A73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Verenigde Staten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A2146E6" w:rsidP="0A3DA58A" w:rsidRDefault="0A2146E6" w14:paraId="60EA01F1" w14:textId="4AD1483B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US"/>
              </w:rPr>
            </w:pP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Alorton, IL; Chicago Heights, IL; Cincinnati, OH; Deer Park (La Porte), TX; Green River, WY; Longview, WA; Parachute, CO; 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Piceance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>, CO;</w:t>
            </w:r>
            <w:r w:rsidRPr="0A3DA58A" w:rsidR="6149D78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 Princeton, NJ;</w:t>
            </w:r>
            <w:r w:rsidRPr="0A3DA58A" w:rsidR="0A2146E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181818"/>
                <w:sz w:val="24"/>
                <w:szCs w:val="24"/>
                <w:lang w:val="en-GB"/>
              </w:rPr>
              <w:t xml:space="preserve"> Reliance, WY</w:t>
            </w:r>
          </w:p>
        </w:tc>
      </w:tr>
    </w:tbl>
    <w:p w:rsidR="0A2146E6" w:rsidP="0A2146E6" w:rsidRDefault="0A2146E6" w14:paraId="5606DBDD" w14:textId="1808DCE1">
      <w:pPr>
        <w:pStyle w:val="Normal"/>
        <w:shd w:val="clear" w:color="auto" w:fill="FFFFFF" w:themeFill="background1"/>
        <w:spacing w:beforeAutospacing="on" w:afterAutospacing="on"/>
        <w:rPr>
          <w:rFonts w:ascii="Garamond" w:hAnsi="Garamond" w:eastAsia="Times New Roman" w:cs="Times New Roman"/>
          <w:b w:val="1"/>
          <w:bCs w:val="1"/>
          <w:color w:val="222222"/>
          <w:lang w:val="nl-BE" w:eastAsia="nl-BE"/>
        </w:rPr>
      </w:pPr>
    </w:p>
    <w:sectPr w:rsidRPr="00B955AB" w:rsidR="008D2841" w:rsidSect="006A6760">
      <w:headerReference w:type="default" r:id="rId12"/>
      <w:footerReference w:type="default" r:id="rId13"/>
      <w:pgSz w:w="11900" w:h="16820" w:orient="portrait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038D" w:rsidP="002A52E7" w:rsidRDefault="0047038D" w14:paraId="7606AC79" w14:textId="77777777">
      <w:r>
        <w:separator/>
      </w:r>
    </w:p>
  </w:endnote>
  <w:endnote w:type="continuationSeparator" w:id="0">
    <w:p w:rsidR="0047038D" w:rsidP="002A52E7" w:rsidRDefault="0047038D" w14:paraId="7E9394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="00621F60" w:rsidP="000D00EC" w:rsidRDefault="00621F60" w14:paraId="18088DFF" w14:textId="77777777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088E02" wp14:editId="18088E0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260"/>
              <wp:effectExtent l="0" t="0" r="0" b="25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1F60" w:rsidP="00B15A55" w:rsidRDefault="00621F60" w14:paraId="18088E08" w14:textId="77777777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18088E09" wp14:editId="18088E0A">
                                <wp:extent cx="4319016" cy="719328"/>
                                <wp:effectExtent l="0" t="0" r="0" b="0"/>
                                <wp:docPr id="6" name="Picture 2" descr="JOKKESPEK:JOHAN:jobs:KBS:2013:sept2013:word_KBS_sept:def:jpgs footers:footer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OKKESPEK:JOHAN:jobs:KBS:2013:sept2013:word_KBS_sept:def:jpgs footers:footer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8088E02">
              <v:stroke joinstyle="miter"/>
              <v:path gradientshapeok="t" o:connecttype="rect"/>
            </v:shapetype>
            <v:shape id="Text Box 5" style="position:absolute;margin-left:-13.95pt;margin-top:-36.6pt;width:354.45pt;height:63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">
              <v:textbox style="mso-fit-shape-to-text:t">
                <w:txbxContent>
                  <w:p w:rsidR="00621F60" w:rsidP="00B15A55" w:rsidRDefault="00621F60" w14:paraId="18088E08" w14:textId="77777777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18088E09" wp14:editId="18088E0A">
                          <wp:extent cx="4319016" cy="719328"/>
                          <wp:effectExtent l="0" t="0" r="0" b="0"/>
                          <wp:docPr id="6" name="Picture 2" descr="JOKKESPEK:JOHAN:jobs:KBS:2013:sept2013:word_KBS_sept:def:jpgs footers:footer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OKKESPEK:JOHAN:jobs:KBS:2013:sept2013:word_KBS_sept:def:jpgs footers:footer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038D" w:rsidP="002A52E7" w:rsidRDefault="0047038D" w14:paraId="6454A470" w14:textId="77777777">
      <w:r>
        <w:separator/>
      </w:r>
    </w:p>
  </w:footnote>
  <w:footnote w:type="continuationSeparator" w:id="0">
    <w:p w:rsidR="0047038D" w:rsidP="002A52E7" w:rsidRDefault="0047038D" w14:paraId="7CCC53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sdtfl w16du wp14">
  <w:p w:rsidR="00621F60" w:rsidRDefault="00621F60" w14:paraId="18088DFE" w14:textId="77777777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88E00" wp14:editId="18088E0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1F60" w:rsidP="00AE19A7" w:rsidRDefault="00621F60" w14:paraId="18088E04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621F60" w:rsidP="00AE19A7" w:rsidRDefault="00621F60" w14:paraId="18088E05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8E1B5D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Ernest Solvay</w:t>
                          </w:r>
                        </w:p>
                        <w:p w:rsidRPr="009B0E73" w:rsidR="00621F60" w:rsidP="00293858" w:rsidRDefault="00621F60" w14:paraId="18088E06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Pr="00A4275D" w:rsidR="00621F60" w:rsidRDefault="00621F60" w14:paraId="18088E07" w14:textId="77777777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088E00">
              <v:stroke joinstyle="miter"/>
              <v:path gradientshapeok="t" o:connecttype="rect"/>
            </v:shapetype>
            <v:shape id="Text Box 9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>
              <v:textbox>
                <w:txbxContent>
                  <w:p w:rsidR="00621F60" w:rsidP="00AE19A7" w:rsidRDefault="00621F60" w14:paraId="18088E04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621F60" w:rsidP="00AE19A7" w:rsidRDefault="00621F60" w14:paraId="18088E05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8E1B5D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Ernest Solvay</w:t>
                    </w:r>
                  </w:p>
                  <w:p w:rsidRPr="009B0E73" w:rsidR="00621F60" w:rsidP="00293858" w:rsidRDefault="00621F60" w14:paraId="18088E06" w14:textId="77777777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Pr="00A4275D" w:rsidR="00621F60" w:rsidRDefault="00621F60" w14:paraId="18088E07" w14:textId="77777777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9607ED"/>
    <w:multiLevelType w:val="hybridMultilevel"/>
    <w:tmpl w:val="9F8E819C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313ADA"/>
    <w:multiLevelType w:val="hybridMultilevel"/>
    <w:tmpl w:val="E4F07592"/>
    <w:lvl w:ilvl="0" w:tplc="6FCEAD9C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0C7321"/>
    <w:multiLevelType w:val="hybridMultilevel"/>
    <w:tmpl w:val="A38472A6"/>
    <w:lvl w:ilvl="0" w:tplc="261A264C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E1298F"/>
    <w:multiLevelType w:val="hybridMultilevel"/>
    <w:tmpl w:val="BCB27336"/>
    <w:lvl w:ilvl="0" w:tplc="87A68BB8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hint="default" w:ascii="Tahoma" w:hAnsi="Tahoma" w:cs="Tahoma" w:eastAsiaTheme="minorEastAsia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9777023">
    <w:abstractNumId w:val="0"/>
  </w:num>
  <w:num w:numId="2" w16cid:durableId="1363552342">
    <w:abstractNumId w:val="1"/>
  </w:num>
  <w:num w:numId="3" w16cid:durableId="1996717682">
    <w:abstractNumId w:val="2"/>
  </w:num>
  <w:num w:numId="4" w16cid:durableId="1672827871">
    <w:abstractNumId w:val="3"/>
  </w:num>
  <w:num w:numId="5" w16cid:durableId="1686978421">
    <w:abstractNumId w:val="10"/>
  </w:num>
  <w:num w:numId="6" w16cid:durableId="2014842107">
    <w:abstractNumId w:val="9"/>
  </w:num>
  <w:num w:numId="7" w16cid:durableId="5981930">
    <w:abstractNumId w:val="8"/>
  </w:num>
  <w:num w:numId="8" w16cid:durableId="680813525">
    <w:abstractNumId w:val="4"/>
  </w:num>
  <w:num w:numId="9" w16cid:durableId="39480295">
    <w:abstractNumId w:val="7"/>
  </w:num>
  <w:num w:numId="10" w16cid:durableId="1507089342">
    <w:abstractNumId w:val="5"/>
  </w:num>
  <w:num w:numId="11" w16cid:durableId="64659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5D"/>
    <w:rsid w:val="00014667"/>
    <w:rsid w:val="00033D71"/>
    <w:rsid w:val="000A1EE7"/>
    <w:rsid w:val="000A349E"/>
    <w:rsid w:val="000B0CC6"/>
    <w:rsid w:val="000B0F57"/>
    <w:rsid w:val="000B75DC"/>
    <w:rsid w:val="000D00EC"/>
    <w:rsid w:val="00122477"/>
    <w:rsid w:val="00122878"/>
    <w:rsid w:val="00134194"/>
    <w:rsid w:val="00162A63"/>
    <w:rsid w:val="00171AA7"/>
    <w:rsid w:val="00171CC9"/>
    <w:rsid w:val="001D61CF"/>
    <w:rsid w:val="001F652F"/>
    <w:rsid w:val="00206EC5"/>
    <w:rsid w:val="00210CA0"/>
    <w:rsid w:val="00230F84"/>
    <w:rsid w:val="00236F4E"/>
    <w:rsid w:val="00272D40"/>
    <w:rsid w:val="00293858"/>
    <w:rsid w:val="002A52E7"/>
    <w:rsid w:val="002C372A"/>
    <w:rsid w:val="002F4829"/>
    <w:rsid w:val="00323914"/>
    <w:rsid w:val="00331A16"/>
    <w:rsid w:val="00367D6A"/>
    <w:rsid w:val="00371854"/>
    <w:rsid w:val="00392206"/>
    <w:rsid w:val="003A0C3D"/>
    <w:rsid w:val="00400F36"/>
    <w:rsid w:val="00416FC3"/>
    <w:rsid w:val="004558A5"/>
    <w:rsid w:val="004672C6"/>
    <w:rsid w:val="0047038D"/>
    <w:rsid w:val="004C6F38"/>
    <w:rsid w:val="004E0237"/>
    <w:rsid w:val="004E7010"/>
    <w:rsid w:val="00522A58"/>
    <w:rsid w:val="005C131D"/>
    <w:rsid w:val="005C7560"/>
    <w:rsid w:val="00605B28"/>
    <w:rsid w:val="00610DA4"/>
    <w:rsid w:val="00621F60"/>
    <w:rsid w:val="00630EE6"/>
    <w:rsid w:val="006A6760"/>
    <w:rsid w:val="00711D19"/>
    <w:rsid w:val="00757A61"/>
    <w:rsid w:val="007E0AEC"/>
    <w:rsid w:val="008031ED"/>
    <w:rsid w:val="008605B6"/>
    <w:rsid w:val="008728C2"/>
    <w:rsid w:val="008868B3"/>
    <w:rsid w:val="008B5491"/>
    <w:rsid w:val="008C70D0"/>
    <w:rsid w:val="008D2841"/>
    <w:rsid w:val="008E1B5D"/>
    <w:rsid w:val="0092580D"/>
    <w:rsid w:val="00932583"/>
    <w:rsid w:val="009511DD"/>
    <w:rsid w:val="009A3B79"/>
    <w:rsid w:val="009B0E73"/>
    <w:rsid w:val="009C1505"/>
    <w:rsid w:val="009E2035"/>
    <w:rsid w:val="00A154D6"/>
    <w:rsid w:val="00A16A4F"/>
    <w:rsid w:val="00A420E5"/>
    <w:rsid w:val="00A4275D"/>
    <w:rsid w:val="00A46613"/>
    <w:rsid w:val="00A756F3"/>
    <w:rsid w:val="00AA42E0"/>
    <w:rsid w:val="00AB2BC2"/>
    <w:rsid w:val="00AB3BFA"/>
    <w:rsid w:val="00AC3007"/>
    <w:rsid w:val="00AE19A7"/>
    <w:rsid w:val="00B15A55"/>
    <w:rsid w:val="00B21291"/>
    <w:rsid w:val="00B47FE7"/>
    <w:rsid w:val="00B51846"/>
    <w:rsid w:val="00B955AB"/>
    <w:rsid w:val="00BB09FE"/>
    <w:rsid w:val="00BD697F"/>
    <w:rsid w:val="00BE7AD6"/>
    <w:rsid w:val="00BF1AE3"/>
    <w:rsid w:val="00C072BC"/>
    <w:rsid w:val="00C101A8"/>
    <w:rsid w:val="00C31A0E"/>
    <w:rsid w:val="00C31BDB"/>
    <w:rsid w:val="00C6141D"/>
    <w:rsid w:val="00D17D80"/>
    <w:rsid w:val="00D3015C"/>
    <w:rsid w:val="00D30A63"/>
    <w:rsid w:val="00D546D8"/>
    <w:rsid w:val="00D937EA"/>
    <w:rsid w:val="00E24A12"/>
    <w:rsid w:val="00E65BD8"/>
    <w:rsid w:val="00E86AAE"/>
    <w:rsid w:val="00E9229B"/>
    <w:rsid w:val="00E941E5"/>
    <w:rsid w:val="00ED3A4B"/>
    <w:rsid w:val="00F01DBF"/>
    <w:rsid w:val="00F02325"/>
    <w:rsid w:val="00F063BE"/>
    <w:rsid w:val="00F1106C"/>
    <w:rsid w:val="00F40A1F"/>
    <w:rsid w:val="00F47813"/>
    <w:rsid w:val="00F529F0"/>
    <w:rsid w:val="00F71C88"/>
    <w:rsid w:val="00FA72D9"/>
    <w:rsid w:val="00FD2FC5"/>
    <w:rsid w:val="02927F2A"/>
    <w:rsid w:val="072E18AC"/>
    <w:rsid w:val="07AF97B0"/>
    <w:rsid w:val="099D717E"/>
    <w:rsid w:val="0A2146E6"/>
    <w:rsid w:val="0A3DA58A"/>
    <w:rsid w:val="0DD3B6B5"/>
    <w:rsid w:val="0E193BBF"/>
    <w:rsid w:val="114D22B5"/>
    <w:rsid w:val="1556E671"/>
    <w:rsid w:val="15CCB2EC"/>
    <w:rsid w:val="15F202EC"/>
    <w:rsid w:val="16735CAD"/>
    <w:rsid w:val="19FC16D0"/>
    <w:rsid w:val="1CEE0E2B"/>
    <w:rsid w:val="1F529D1C"/>
    <w:rsid w:val="247B504C"/>
    <w:rsid w:val="249286ED"/>
    <w:rsid w:val="2CA96F96"/>
    <w:rsid w:val="2F0A73C2"/>
    <w:rsid w:val="2FB39587"/>
    <w:rsid w:val="2FC78992"/>
    <w:rsid w:val="30EC73BD"/>
    <w:rsid w:val="324806CB"/>
    <w:rsid w:val="32C12C01"/>
    <w:rsid w:val="387C2AF6"/>
    <w:rsid w:val="3CE2F650"/>
    <w:rsid w:val="3D7C68F1"/>
    <w:rsid w:val="404398B7"/>
    <w:rsid w:val="42705923"/>
    <w:rsid w:val="55E26CE5"/>
    <w:rsid w:val="5983BDE8"/>
    <w:rsid w:val="5AEFF868"/>
    <w:rsid w:val="5B3737B7"/>
    <w:rsid w:val="5B3737B7"/>
    <w:rsid w:val="5B7DEAEC"/>
    <w:rsid w:val="5E5EC4AC"/>
    <w:rsid w:val="6149D78A"/>
    <w:rsid w:val="635A5E6F"/>
    <w:rsid w:val="6779DB64"/>
    <w:rsid w:val="67D53208"/>
    <w:rsid w:val="683D8907"/>
    <w:rsid w:val="68A11B89"/>
    <w:rsid w:val="6D223266"/>
    <w:rsid w:val="6FECCF94"/>
    <w:rsid w:val="75AE1581"/>
    <w:rsid w:val="7624A739"/>
    <w:rsid w:val="790448DD"/>
    <w:rsid w:val="7E33D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88DE1"/>
  <w14:defaultImageDpi w14:val="300"/>
  <w15:docId w15:val="{E2DAA295-92F9-409D-B6DC-643BA0E1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2E7"/>
  </w:style>
  <w:style w:type="paragraph" w:styleId="Default" w:customStyle="1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8ba64-ba43-41f6-a838-ccb3b0cfbbc7" xsi:nil="true"/>
    <lcf76f155ced4ddcb4097134ff3c332f xmlns="08265c96-e036-4fe2-a14c-4a73672cb1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983F53575DE4F97A16D6DAFDE15F6" ma:contentTypeVersion="15" ma:contentTypeDescription="Create a new document." ma:contentTypeScope="" ma:versionID="8dae3696d8cdf85c7d45ae8a4b9d9859">
  <xsd:schema xmlns:xsd="http://www.w3.org/2001/XMLSchema" xmlns:xs="http://www.w3.org/2001/XMLSchema" xmlns:p="http://schemas.microsoft.com/office/2006/metadata/properties" xmlns:ns2="08265c96-e036-4fe2-a14c-4a73672cb1f2" xmlns:ns3="9468ba64-ba43-41f6-a838-ccb3b0cfbbc7" targetNamespace="http://schemas.microsoft.com/office/2006/metadata/properties" ma:root="true" ma:fieldsID="bc726e1faf18d5fd3d01d4a339443c78" ns2:_="" ns3:_="">
    <xsd:import namespace="08265c96-e036-4fe2-a14c-4a73672cb1f2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5c96-e036-4fe2-a14c-4a73672c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1FDC2-E29D-42F7-8206-FAC0B116C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F3F31-7117-405E-B7E9-E90D71D30241}">
  <ds:schemaRefs>
    <ds:schemaRef ds:uri="http://schemas.microsoft.com/office/2006/metadata/properties"/>
    <ds:schemaRef ds:uri="http://schemas.microsoft.com/office/infopath/2007/PartnerControls"/>
    <ds:schemaRef ds:uri="632a7393-ac81-4a74-9c74-5181ce118d10"/>
    <ds:schemaRef ds:uri="9468ba64-ba43-41f6-a838-ccb3b0cfbbc7"/>
  </ds:schemaRefs>
</ds:datastoreItem>
</file>

<file path=customXml/itemProps3.xml><?xml version="1.0" encoding="utf-8"?>
<ds:datastoreItem xmlns:ds="http://schemas.openxmlformats.org/officeDocument/2006/customXml" ds:itemID="{74C45D05-3E5B-45C3-AE20-06D9E990F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6F800-1B8F-422D-AF12-D3E916D995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KBS-FRB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KAISIN Stéphanie</dc:creator>
  <lastModifiedBy>Akman Ilya</lastModifiedBy>
  <revision>49</revision>
  <lastPrinted>2015-04-10T07:29:00.0000000Z</lastPrinted>
  <dcterms:created xsi:type="dcterms:W3CDTF">2018-12-06T10:58:00.0000000Z</dcterms:created>
  <dcterms:modified xsi:type="dcterms:W3CDTF">2025-07-15T07:25:17.0350009Z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0x010100527983F53575DE4F97A16D6DAFDE15F6</vt:lpwstr>
  </property>
  <property fmtid="{D5CDD505-2E9C-101B-9397-08002B2CF9AE}" pid="3" name="MediaServiceImageTags">
    <vt:lpwstr/>
  </property>
  <property fmtid="{D5CDD505-2E9C-101B-9397-08002B2CF9AE}" pid="4" name="done">
    <vt:bool>false</vt:bool>
  </property>
</Properties>
</file>